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83"/>
        <w:gridCol w:w="1843"/>
        <w:gridCol w:w="6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《事业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单 位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法 人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 xml:space="preserve"> 证书》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登 载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事 项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6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邢台无线电监测站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4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宗 旨 和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业务范围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宗旨：加强无线电管理，维护空中电波秩序，有效利用无线电频谱资源，保证无线电业务正常开展。</w:t>
            </w:r>
          </w:p>
          <w:p>
            <w:pPr>
              <w:spacing w:line="460" w:lineRule="exact"/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业务范围：1、测定无线电设备的主要技术指标；2、监测无线电台（站）是否按规定程序和核定的项目工作；3、查找无线电干扰源和未经批准使用的无线电台（站）设备；4、采取有效技术措施，对频率实施空中管理；5、测试电磁环境；6、监测工业、科学、医疗等非无线电设备的无线电波辐射；   7、无线电管理机构规定的其它职责。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住    所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邢台市育英街38号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法定代表人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李俊杰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开办资金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21.4万元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经费来源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举办单位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邢台无线电管理局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60" w:firstLineChars="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对《条</w:t>
            </w:r>
          </w:p>
          <w:p>
            <w:pPr>
              <w:spacing w:line="48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例》和</w:t>
            </w:r>
          </w:p>
          <w:p>
            <w:pPr>
              <w:spacing w:line="48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实施细</w:t>
            </w:r>
          </w:p>
          <w:p>
            <w:pPr>
              <w:spacing w:line="48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则有关</w:t>
            </w:r>
          </w:p>
          <w:p>
            <w:pPr>
              <w:spacing w:line="48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变更登</w:t>
            </w:r>
          </w:p>
          <w:p>
            <w:pPr>
              <w:spacing w:line="48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记规定</w:t>
            </w:r>
          </w:p>
          <w:p>
            <w:pPr>
              <w:spacing w:line="48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的执行</w:t>
            </w:r>
          </w:p>
          <w:p>
            <w:pPr>
              <w:spacing w:line="48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情  况</w:t>
            </w:r>
          </w:p>
        </w:tc>
        <w:tc>
          <w:tcPr>
            <w:tcW w:w="80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60" w:firstLineChars="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无</w:t>
            </w:r>
          </w:p>
          <w:p>
            <w:pPr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bCs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9" w:hRule="atLeast"/>
          <w:jc w:val="center"/>
        </w:trPr>
        <w:tc>
          <w:tcPr>
            <w:tcW w:w="14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展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况</w:t>
            </w:r>
          </w:p>
        </w:tc>
        <w:tc>
          <w:tcPr>
            <w:tcW w:w="80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480" w:hanging="480" w:hangingChars="1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1、定期监测无线电台（站）是否按规定程序和核定的项目工作，并生成监测月报；</w:t>
            </w:r>
          </w:p>
          <w:p>
            <w:pPr>
              <w:ind w:left="480" w:hanging="480" w:hangingChars="1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2、查找伪基站、卫星电视干扰器等无线电干扰源和未经批准使用的无线电台（站）设备；</w:t>
            </w:r>
          </w:p>
          <w:p>
            <w:pPr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3、测试民航、铁路等场所的电磁环境；</w:t>
            </w:r>
          </w:p>
          <w:p>
            <w:pPr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4、测定无线电设备的主要技术指标；</w:t>
            </w:r>
          </w:p>
          <w:p>
            <w:pPr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5、监测工业、科学、医疗等非无线电设备无线电波辐射；</w:t>
            </w:r>
          </w:p>
          <w:p>
            <w:pPr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6、开展各类考试的无线电安全保障；</w:t>
            </w:r>
          </w:p>
          <w:p>
            <w:pPr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7、无线电管理机构规定的其它职责。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相关资质认可或执业许可证明文件及有效 期</w:t>
            </w:r>
          </w:p>
        </w:tc>
        <w:tc>
          <w:tcPr>
            <w:tcW w:w="8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60" w:firstLineChars="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无</w:t>
            </w:r>
          </w:p>
          <w:p>
            <w:pPr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4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受奖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惩评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估及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诉讼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投诉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情况</w:t>
            </w:r>
          </w:p>
        </w:tc>
        <w:tc>
          <w:tcPr>
            <w:tcW w:w="80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ind w:firstLine="160" w:firstLineChars="50"/>
              <w:jc w:val="lef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无</w:t>
            </w:r>
          </w:p>
          <w:p>
            <w:pPr>
              <w:jc w:val="left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楷体" w:eastAsia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ind w:left="18" w:leftChars="-135" w:hanging="301" w:hangingChars="94"/>
        <w:rPr>
          <w:rFonts w:ascii="楷体_GB2312" w:eastAsia="楷体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bCs/>
          <w:sz w:val="32"/>
          <w:szCs w:val="32"/>
        </w:rPr>
        <w:t xml:space="preserve">   </w:t>
      </w:r>
    </w:p>
    <w:sectPr>
      <w:headerReference r:id="rId5" w:type="first"/>
      <w:headerReference r:id="rId4" w:type="default"/>
      <w:footerReference r:id="rId6" w:type="default"/>
      <w:footerReference r:id="rId7" w:type="even"/>
      <w:pgSz w:w="11906" w:h="16838"/>
      <w:pgMar w:top="2098" w:right="1531" w:bottom="1928" w:left="1531" w:header="1247" w:footer="153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7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spacing w:line="500" w:lineRule="exact"/>
      <w:ind w:firstLine="2000" w:firstLineChars="500"/>
      <w:rPr>
        <w:rFonts w:ascii="方正小标宋简体" w:hAnsi="Arial" w:eastAsia="方正小标宋简体" w:cs="Arial"/>
        <w:color w:val="2B2B2B"/>
        <w:spacing w:val="20"/>
        <w:kern w:val="0"/>
        <w:sz w:val="36"/>
        <w:szCs w:val="36"/>
      </w:rPr>
    </w:pPr>
    <w:r>
      <w:rPr>
        <w:rFonts w:hint="eastAsia" w:ascii="宋体" w:hAnsi="宋体" w:cs="宋体"/>
        <w:color w:val="2B2B2B"/>
        <w:spacing w:val="20"/>
        <w:kern w:val="0"/>
        <w:sz w:val="36"/>
        <w:szCs w:val="36"/>
      </w:rPr>
      <w:t>事业单位法人年度报告公开表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10">
    <w:name w:val="Char Char Char Char Char Char"/>
    <w:basedOn w:val="1"/>
    <w:next w:val="1"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11">
    <w:name w:val="font71"/>
    <w:basedOn w:val="6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142</Words>
  <Characters>811</Characters>
  <Lines>6</Lines>
  <Paragraphs>1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2014-05-04T02:08:00Z</dcterms:created>
  <dc:creator>微软用户</dc:creator>
  <cp:lastModifiedBy>lmy20110407</cp:lastModifiedBy>
  <cp:lastPrinted>2014-04-24T09:14:00Z</cp:lastPrinted>
  <dcterms:modified xsi:type="dcterms:W3CDTF">2014-05-16T02:47:44Z</dcterms:modified>
  <dc:title>邢事登[2011]4号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