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15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15"/>
          <w:sz w:val="44"/>
          <w:szCs w:val="44"/>
          <w:shd w:val="clear" w:color="auto" w:fill="FFFFFF"/>
          <w:lang w:val="en-US" w:eastAsia="zh-CN"/>
        </w:rPr>
        <w:t>井陉县委编办“三个着力”提升机构编制资源使用效益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近两年来，井陉县委编办深入学习贯彻习近平总书记关于“机构编制资源是重要政治资源、执政资源”的重要论述，以“三个着力”提升机构编制资源使用效益。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sz w:val="31"/>
          <w:szCs w:val="31"/>
          <w:lang w:val="en-US" w:eastAsia="zh-CN"/>
        </w:rPr>
        <w:t>一、着力优化党政机构职能体系。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一是创新体制机制，单独设立县城市管理综合行政执法局。在整合工信局、科技局组建科学技术和工业信息化局的基础上，将城市管理综合行政执法和城市管理职责从住建局剥离，单独设立城市管理综合行政执法局，为政府工作部门，大大提升了城市治理效能。二是及时跟进市级“三定”调整，对县科协、县计生协、县文联等事业群团的“三定”规定进行了优化、调整，进一步完善职能体系</w:t>
      </w: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三是严格落实省、市部署的各项职能调整或体制机制改革，如招商引资和投资促进职责调整、行政复议体制改革、应急管理体制改革、国防动员体制改革等，确保各项调整或改革落地落细。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二、</w:t>
      </w:r>
      <w:r>
        <w:rPr>
          <w:rFonts w:ascii="黑体" w:hAnsi="宋体" w:eastAsia="黑体" w:cs="黑体"/>
          <w:sz w:val="31"/>
          <w:szCs w:val="31"/>
        </w:rPr>
        <w:t>着力解决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机构编制</w:t>
      </w:r>
      <w:r>
        <w:rPr>
          <w:rFonts w:ascii="黑体" w:hAnsi="宋体" w:eastAsia="黑体" w:cs="黑体"/>
          <w:sz w:val="31"/>
          <w:szCs w:val="31"/>
        </w:rPr>
        <w:t>突出问题</w:t>
      </w:r>
      <w:r>
        <w:rPr>
          <w:rFonts w:hint="eastAsia" w:ascii="黑体" w:hAnsi="宋体" w:eastAsia="黑体" w:cs="黑体"/>
          <w:sz w:val="31"/>
          <w:szCs w:val="31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一是利用“周转编制”解决历史遗留的“政策性超编”问题。</w:t>
      </w: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对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因改革或政策性原因造成的个别超编问题进行全面梳理，为其核增“周转编制”，解决超编现状，并对“周转编制”的使用情形、使用期限、收回条件及使用期间“严禁以任何方式进人”等做出明确规定，有效解决了县残联、县林业工作站等4个单位超编6人的问题。二是建立部门“联动机制”，从根源上杜绝“超编”问题发生。与</w:t>
      </w: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组织、人社、财政等部门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联合制定《井陉县直机关事业单位用编进人管理办法》（试行），建立协调联动机制，</w:t>
      </w: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切实把好人员入口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第一关</w:t>
      </w: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坚决禁止“超编进人”，从根源上治理“超编”问题。三是及时解决“挤占”中小学校教职工编制的问题。以重新核定全县中小学校教职工编制为契机，将教研室、教师进修学校、青少年活动中心及第一幼儿园、第三幼儿园5个非教育事业单位的“中小学校教职工编制”置换为县直全额事业编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三、</w:t>
      </w:r>
      <w:r>
        <w:rPr>
          <w:rFonts w:hint="eastAsia" w:ascii="黑体" w:hAnsi="宋体" w:eastAsia="黑体" w:cs="黑体"/>
          <w:sz w:val="31"/>
          <w:szCs w:val="31"/>
        </w:rPr>
        <w:t>着力保障重点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领域机构编制</w:t>
      </w:r>
      <w:r>
        <w:rPr>
          <w:rFonts w:hint="eastAsia" w:ascii="黑体" w:hAnsi="宋体" w:eastAsia="黑体" w:cs="黑体"/>
          <w:sz w:val="31"/>
          <w:szCs w:val="31"/>
        </w:rPr>
        <w:t>需求</w:t>
      </w:r>
      <w:r>
        <w:rPr>
          <w:rFonts w:hint="eastAsia" w:ascii="黑体" w:hAnsi="宋体" w:eastAsia="黑体" w:cs="黑体"/>
          <w:sz w:val="31"/>
          <w:szCs w:val="31"/>
          <w:lang w:eastAsia="zh-CN"/>
        </w:rPr>
        <w:t>。</w:t>
      </w: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  <w:lang w:val="en-US" w:eastAsia="zh-CN"/>
        </w:rPr>
        <w:t>聚焦重点领域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  <w:lang w:val="en-US" w:eastAsia="zh-CN"/>
        </w:rPr>
        <w:t>、民生一线和改革急需，将有限的机构编制资源用在“刀刃”上。一是围绕中心夯实机构编制基础。按“撤一建一”原则，新设立事业机构14个，如数据资源服务中心、供销合作社、矿产资源保护中心、人才服务中心、森林草原消防大队、防贫中心、社会矛盾纠纷多元化解中心、新时代文明实践指导中心、科技馆等，核定事业编制总计100名；二是聚焦民生加大编制保障力度。分别为县疾控中心、卫生监督所、行政审批服务中心、医疗保险中心、劳动监察大队等7个“民生一线”事业单位增加编制共计54名，对</w:t>
      </w: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  <w:lang w:val="en-US" w:eastAsia="zh-CN"/>
        </w:rPr>
        <w:t>全县经济社会高质量发展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  <w:lang w:val="en-US" w:eastAsia="zh-CN"/>
        </w:rPr>
        <w:t>提供了有力的机构编制支持。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20" w:firstLineChars="200"/>
        <w:textAlignment w:val="auto"/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20" w:firstLineChars="200"/>
        <w:textAlignment w:val="auto"/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</w:pPr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YmJmNzQyYmZlZWFhNjUzNDg3MzRjMTJmZDdlYmIifQ=="/>
  </w:docVars>
  <w:rsids>
    <w:rsidRoot w:val="00000000"/>
    <w:rsid w:val="006672A9"/>
    <w:rsid w:val="043F0BEF"/>
    <w:rsid w:val="064B1AAF"/>
    <w:rsid w:val="07832E4C"/>
    <w:rsid w:val="08D20FF5"/>
    <w:rsid w:val="0BCB2D68"/>
    <w:rsid w:val="0C25068E"/>
    <w:rsid w:val="15AB71D5"/>
    <w:rsid w:val="1C9E0B81"/>
    <w:rsid w:val="1D4330A6"/>
    <w:rsid w:val="20C10B3B"/>
    <w:rsid w:val="2488118F"/>
    <w:rsid w:val="271433BD"/>
    <w:rsid w:val="27455A20"/>
    <w:rsid w:val="29C232FE"/>
    <w:rsid w:val="2A225F57"/>
    <w:rsid w:val="2E813A2E"/>
    <w:rsid w:val="32B01391"/>
    <w:rsid w:val="34A65A5D"/>
    <w:rsid w:val="35506439"/>
    <w:rsid w:val="357431D7"/>
    <w:rsid w:val="368A21FF"/>
    <w:rsid w:val="3ADE163C"/>
    <w:rsid w:val="3AFD4E99"/>
    <w:rsid w:val="4013200C"/>
    <w:rsid w:val="42982B3E"/>
    <w:rsid w:val="499A08BB"/>
    <w:rsid w:val="52586228"/>
    <w:rsid w:val="54A014FB"/>
    <w:rsid w:val="55C3355D"/>
    <w:rsid w:val="55E97AB3"/>
    <w:rsid w:val="59705E12"/>
    <w:rsid w:val="5A026F22"/>
    <w:rsid w:val="5CCD6007"/>
    <w:rsid w:val="5DE74B7F"/>
    <w:rsid w:val="5E0C65C1"/>
    <w:rsid w:val="62F96FDD"/>
    <w:rsid w:val="630A6E47"/>
    <w:rsid w:val="63BC6393"/>
    <w:rsid w:val="64AA2690"/>
    <w:rsid w:val="6D8F2D6B"/>
    <w:rsid w:val="6ED149F7"/>
    <w:rsid w:val="73390BA0"/>
    <w:rsid w:val="76805D7E"/>
    <w:rsid w:val="76843E77"/>
    <w:rsid w:val="77FA5285"/>
    <w:rsid w:val="792850AC"/>
    <w:rsid w:val="799C4216"/>
    <w:rsid w:val="7A2E1215"/>
    <w:rsid w:val="7AF64429"/>
    <w:rsid w:val="7ED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</w:pPr>
    <w:rPr>
      <w:rFonts w:ascii="宋体"/>
      <w:kern w:val="0"/>
      <w:szCs w:val="20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Body Text Indent"/>
    <w:basedOn w:val="1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No Spacing_57efa9f3-2fb9-4217-9c9e-eb1ea0d021bf"/>
    <w:qFormat/>
    <w:uiPriority w:val="1"/>
    <w:pPr>
      <w:widowControl w:val="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宋体" w:hAnsi="Times New Roman" w:eastAsia="宋体" w:cs="宋体"/>
      <w:kern w:val="2"/>
      <w:sz w:val="32"/>
      <w:szCs w:val="32"/>
      <w:lang w:val="en-US" w:eastAsia="zh-CN" w:bidi="ar-SA"/>
    </w:rPr>
  </w:style>
  <w:style w:type="paragraph" w:customStyle="1" w:styleId="12">
    <w:name w:val="_Style 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1052</Words>
  <Characters>1063</Characters>
  <Lines>0</Lines>
  <Paragraphs>0</Paragraphs>
  <TotalTime>1</TotalTime>
  <ScaleCrop>false</ScaleCrop>
  <LinksUpToDate>false</LinksUpToDate>
  <CharactersWithSpaces>1068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2022-05-13T02:24:00Z</dcterms:created>
  <dc:creator>admin</dc:creator>
  <cp:lastModifiedBy>Administrator</cp:lastModifiedBy>
  <dcterms:modified xsi:type="dcterms:W3CDTF">2023-03-21T07:16:07Z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6E4E31FE946B40E183FEF51C9EB2B846</vt:lpwstr>
  </property>
</Properties>
</file>