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24"/>
          <w:lang w:eastAsia="zh-CN"/>
        </w:rPr>
      </w:pPr>
    </w:p>
    <w:p>
      <w:pPr>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部门职责</w:t>
      </w:r>
      <w:r>
        <w:rPr>
          <w:rFonts w:hint="eastAsia" w:ascii="方正小标宋简体" w:hAnsi="方正小标宋简体" w:eastAsia="方正小标宋简体" w:cs="方正小标宋简体"/>
          <w:sz w:val="44"/>
          <w:szCs w:val="44"/>
          <w:lang w:val="en-US" w:eastAsia="zh-CN"/>
        </w:rPr>
        <w:t>清单</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部门名称：</w:t>
      </w:r>
      <w:r>
        <w:rPr>
          <w:rFonts w:hint="eastAsia" w:ascii="楷体_GB2312" w:hAnsi="楷体_GB2312" w:eastAsia="楷体_GB2312" w:cs="楷体_GB2312"/>
          <w:b/>
          <w:bCs/>
          <w:sz w:val="32"/>
          <w:szCs w:val="32"/>
        </w:rPr>
        <w:t>安新县人民政府办公室</w:t>
      </w:r>
    </w:p>
    <w:tbl>
      <w:tblPr>
        <w:tblStyle w:val="5"/>
        <w:tblW w:w="14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4711"/>
        <w:gridCol w:w="5065"/>
        <w:gridCol w:w="2234"/>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 w:type="dxa"/>
            <w:vAlign w:val="top"/>
          </w:tcPr>
          <w:p>
            <w:pPr>
              <w:spacing w:before="0" w:beforeAutospacing="0" w:after="0" w:afterAutospacing="0"/>
              <w:ind w:left="0" w:right="0"/>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序号</w:t>
            </w:r>
          </w:p>
        </w:tc>
        <w:tc>
          <w:tcPr>
            <w:tcW w:w="4711" w:type="dxa"/>
            <w:vAlign w:val="top"/>
          </w:tcPr>
          <w:p>
            <w:pPr>
              <w:spacing w:before="0" w:beforeAutospacing="0" w:after="0" w:afterAutospacing="0"/>
              <w:ind w:left="0" w:right="0"/>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主 要 职 责</w:t>
            </w:r>
          </w:p>
        </w:tc>
        <w:tc>
          <w:tcPr>
            <w:tcW w:w="5065" w:type="dxa"/>
            <w:vAlign w:val="top"/>
          </w:tcPr>
          <w:p>
            <w:pPr>
              <w:spacing w:before="0" w:beforeAutospacing="0" w:after="0" w:afterAutospacing="0"/>
              <w:ind w:left="0" w:right="0"/>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具体工作事项</w:t>
            </w:r>
          </w:p>
        </w:tc>
        <w:tc>
          <w:tcPr>
            <w:tcW w:w="2234" w:type="dxa"/>
            <w:vAlign w:val="top"/>
          </w:tcPr>
          <w:p>
            <w:pPr>
              <w:spacing w:before="0" w:beforeAutospacing="0" w:after="0" w:afterAutospacing="0"/>
              <w:ind w:left="0" w:right="0"/>
              <w:jc w:val="center"/>
              <w:rPr>
                <w:rFonts w:hint="eastAsia" w:asciiTheme="minorEastAsia" w:hAnsiTheme="minorEastAsia" w:eastAsiaTheme="minorEastAsia" w:cstheme="minorEastAsia"/>
                <w:b/>
                <w:bCs w:val="0"/>
                <w:sz w:val="22"/>
                <w:szCs w:val="22"/>
                <w:lang w:eastAsia="zh-CN"/>
              </w:rPr>
            </w:pPr>
            <w:r>
              <w:rPr>
                <w:rFonts w:hint="eastAsia" w:asciiTheme="minorEastAsia" w:hAnsiTheme="minorEastAsia" w:eastAsiaTheme="minorEastAsia" w:cstheme="minorEastAsia"/>
                <w:b/>
                <w:bCs w:val="0"/>
                <w:sz w:val="22"/>
                <w:szCs w:val="22"/>
                <w:lang w:eastAsia="zh-CN"/>
              </w:rPr>
              <w:t>责任处室</w:t>
            </w:r>
          </w:p>
        </w:tc>
        <w:tc>
          <w:tcPr>
            <w:tcW w:w="2234" w:type="dxa"/>
            <w:vAlign w:val="top"/>
          </w:tcPr>
          <w:p>
            <w:pPr>
              <w:spacing w:before="0" w:beforeAutospacing="0" w:after="0" w:afterAutospacing="0"/>
              <w:ind w:left="0" w:right="0"/>
              <w:jc w:val="center"/>
              <w:rPr>
                <w:rFonts w:hint="eastAsia" w:asciiTheme="minorEastAsia" w:hAnsiTheme="minorEastAsia" w:eastAsiaTheme="minorEastAsia" w:cstheme="minorEastAsia"/>
                <w:b/>
                <w:bCs w:val="0"/>
                <w:sz w:val="22"/>
                <w:szCs w:val="22"/>
              </w:rPr>
            </w:pPr>
            <w:r>
              <w:rPr>
                <w:rFonts w:hint="eastAsia" w:asciiTheme="minorEastAsia" w:hAnsiTheme="minorEastAsia" w:eastAsiaTheme="minorEastAsia" w:cstheme="minorEastAsia"/>
                <w:b/>
                <w:bCs w:val="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1" w:type="dxa"/>
            <w:vMerge w:val="restart"/>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4711" w:type="dxa"/>
            <w:vMerge w:val="restart"/>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调查研究依法行政和政府法制建设中出现的新情况、新问题，提出推进依法行政工作建议，在县政府全面推进依法行政中，发挥统筹规划、综合协调、督促指导、政策研究和情况交流作用。</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全县全面推进依法行政工作组织协调</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法制办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color w:val="000000"/>
                <w:sz w:val="22"/>
                <w:szCs w:val="22"/>
                <w:shd w:val="clear" w:color="auto" w:fill="FFFFFF"/>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政府法制建设综合调研</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561" w:type="dxa"/>
            <w:vMerge w:val="restart"/>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4711" w:type="dxa"/>
            <w:vMerge w:val="restart"/>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负责对县政府政策措施、规范性文件的合法性审查、备案和县政府部门、乡镇政府规范性文件的备案审查。</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县政府重大行政决策合法性审查</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法制办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县政府及县政府办公室拟发规范性文件的前置合法性审查</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县政府拟签订合同、协议的合法性审查</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办理县政府及县政府办公室印发规范性文件上报县人大常委会和市政府的备案</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对县政府部门、乡镇政府报送备案的规范性文件的备案审查</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全县规范性文件备案审查情况统计和监督检查</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restart"/>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4711" w:type="dxa"/>
            <w:vMerge w:val="restart"/>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负责行政执法人员的资格审查和公共法律知识培训工作；行政执法证件、行政执法监督检查证件的发放、年检、备案；负责行政执法监督工作；负责行政罚没许可证的审核制作发放、备案工作。</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县行政执法人员的资格审查</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法制办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县行政执法人员的公共法律知识培训</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行政执法证件的发放、备案</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行政执法证件、行政执法监督检查证件的年检</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行政执法监督工作</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行政罚没许可证的审核、制作发放、备案工作</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561" w:type="dxa"/>
            <w:vMerge w:val="restart"/>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w:t>
            </w:r>
          </w:p>
        </w:tc>
        <w:tc>
          <w:tcPr>
            <w:tcW w:w="4711" w:type="dxa"/>
            <w:vMerge w:val="restart"/>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依法承办县政府管辖的行政复议案件；受县政府法定代表人委托，办理行政诉讼案件的应诉事项；受政府法定代表人委托，办理以县政府为被申请人的行政复议答复事项。</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办理县政府管辖的行政复议案件</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法制办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受县政府法定代表人委托办理以县政府为被告的行政诉讼案件的应诉事项</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受县政府法定代表人委托办理以县政府为被申请人的行政复议答复事项</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负责行政复议案件办理过程中的行政调解工作</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负责行政复议决定书网上公开工作</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561" w:type="dxa"/>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w:t>
            </w:r>
          </w:p>
        </w:tc>
        <w:tc>
          <w:tcPr>
            <w:tcW w:w="4711" w:type="dxa"/>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负责组织清理县政府及县政府办公室印发的规范性文件的清理工作。指导县政府工作部门、乡镇政府印发的规范性文件的清理工作。</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组织协调规范性文件清理</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法制办</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561" w:type="dxa"/>
            <w:vMerge w:val="restart"/>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6</w:t>
            </w:r>
          </w:p>
        </w:tc>
        <w:tc>
          <w:tcPr>
            <w:tcW w:w="4711" w:type="dxa"/>
            <w:vMerge w:val="restart"/>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开展政府法制工作研究和宣传，协助落实县政府领导干部学法制度。</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政府法制理论和政府法制工作研究</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法制办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政府法制工作宣传</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落实县政府领导干部学法制度</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561" w:type="dxa"/>
            <w:vMerge w:val="continue"/>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vAlign w:val="top"/>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推进县政府工作部门、乡镇政府领导干部学法制度建设</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61" w:type="dxa"/>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7</w:t>
            </w:r>
          </w:p>
        </w:tc>
        <w:tc>
          <w:tcPr>
            <w:tcW w:w="4711" w:type="dxa"/>
            <w:vAlign w:val="center"/>
          </w:tcPr>
          <w:p>
            <w:pPr>
              <w:spacing w:before="0" w:beforeAutospacing="0" w:after="0" w:afterAutospacing="0"/>
              <w:ind w:left="0" w:right="0" w:firstLine="3168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承办上级交办的法律、法规、规章、文件草案征求意见工作。</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办理上级交办的法律、法规、规章、文件草案征求意见答复</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法制办</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restart"/>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8</w:t>
            </w:r>
          </w:p>
        </w:tc>
        <w:tc>
          <w:tcPr>
            <w:tcW w:w="4711" w:type="dxa"/>
            <w:vMerge w:val="restart"/>
            <w:tcBorders>
              <w:left w:val="single" w:color="auto" w:sz="4" w:space="0"/>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负责对各乡镇、县直部门档案业务指导工作；负责档案行政执法和档案法律法规执行情况的监督检查工作；负责馆藏档案资料的科学保管、接收、整理、统计、著录、编目、借阅工作。</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10"/>
                <w:sz w:val="22"/>
                <w:szCs w:val="22"/>
                <w:lang w:val="en-US" w:eastAsia="zh-CN" w:bidi="ar-SA"/>
              </w:rPr>
              <w:t>负责对各乡镇、县直部门档案业务指导工作。负责档案行政执法和档案法律法规执行情况的监督检查工作。</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kern w:val="10"/>
                <w:sz w:val="22"/>
                <w:szCs w:val="22"/>
                <w:lang w:val="en-US" w:eastAsia="zh-CN" w:bidi="ar-SA"/>
              </w:rPr>
            </w:pPr>
            <w:r>
              <w:rPr>
                <w:rFonts w:hint="eastAsia" w:asciiTheme="minorEastAsia" w:hAnsiTheme="minorEastAsia" w:eastAsiaTheme="minorEastAsia" w:cstheme="minorEastAsia"/>
                <w:kern w:val="10"/>
                <w:sz w:val="22"/>
                <w:szCs w:val="22"/>
                <w:lang w:val="en-US" w:eastAsia="zh-CN" w:bidi="ar-SA"/>
              </w:rPr>
              <w:t>档案局</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由事业单位承担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continue"/>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tcBorders>
              <w:left w:val="single" w:color="auto" w:sz="4" w:space="0"/>
              <w:right w:val="nil"/>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kern w:val="10"/>
                <w:sz w:val="22"/>
                <w:szCs w:val="22"/>
                <w:lang w:val="en-US" w:eastAsia="zh-CN" w:bidi="ar-SA"/>
              </w:rPr>
              <w:t>负责馆馆藏档案资料的科学保管、接收、整理、统计、著录、编目、借阅工作。</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由事业单位承担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w:t>
            </w:r>
          </w:p>
        </w:tc>
        <w:tc>
          <w:tcPr>
            <w:tcW w:w="4711"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负责贯彻执行上级金融工作的方针、政策，督促落实县委、县政府有关金融、保险等工作的决定和部署</w:t>
            </w:r>
          </w:p>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执行上级金融工作的方针、政策，督促落实县委、县政府有关金融、保险等工作的决定和部署</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金融办</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restart"/>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w:t>
            </w:r>
          </w:p>
        </w:tc>
        <w:tc>
          <w:tcPr>
            <w:tcW w:w="4711" w:type="dxa"/>
            <w:vMerge w:val="restart"/>
            <w:tcBorders>
              <w:left w:val="single" w:color="auto" w:sz="4" w:space="0"/>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负责全县金融工作沟通协调机制，建立与金融、财政、企业等监管机构的协调沟通与联系；研究规范本县金融服务工作，参与研究全县政府性投资重大项目的融资方案，参与贷款担保公司的组建，并协调、指导贷款担保公司的发展，并加强其增资、扩股、扩大经营规模，增加担保能力，推动担保服务体系建设。</w:t>
            </w:r>
          </w:p>
        </w:tc>
        <w:tc>
          <w:tcPr>
            <w:tcW w:w="5065"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建立与金融、财政、企业等监管机构的协调沟通与联系。</w:t>
            </w: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金融办</w:t>
            </w:r>
          </w:p>
          <w:p>
            <w:pPr>
              <w:spacing w:before="0" w:beforeAutospacing="0" w:after="0" w:afterAutospacing="0"/>
              <w:ind w:left="0" w:right="0"/>
              <w:rPr>
                <w:rFonts w:hint="eastAsia" w:asciiTheme="minorEastAsia" w:hAnsiTheme="minorEastAsia" w:eastAsiaTheme="minorEastAsia" w:cstheme="minorEastAsia"/>
                <w:sz w:val="22"/>
                <w:szCs w:val="22"/>
              </w:rPr>
            </w:pP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continue"/>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tcBorders>
              <w:left w:val="single" w:color="auto" w:sz="4" w:space="0"/>
              <w:right w:val="nil"/>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研究规范本县金融服务工作，参与研究全县政府性投资重大项目的融资方案，参与贷款担保公司的组建，并协调、指导贷款担保公司的发展。</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continue"/>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tcBorders>
              <w:left w:val="single" w:color="auto" w:sz="4" w:space="0"/>
              <w:right w:val="nil"/>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加强其增资、扩股、扩大经营规模，增加担保能力，推动担保服务体系建设。</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restart"/>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w:t>
            </w:r>
          </w:p>
        </w:tc>
        <w:tc>
          <w:tcPr>
            <w:tcW w:w="4711" w:type="dxa"/>
            <w:vMerge w:val="restart"/>
            <w:tcBorders>
              <w:left w:val="single" w:color="auto" w:sz="4" w:space="0"/>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协调金融部门通过担保公司为全县基础设施建设、支农、创业促就业、中小企业等向银行申请担保贷款，并对担保基金及贷款资金其进行管理和监督。</w:t>
            </w:r>
          </w:p>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对担保基金及贷款资金其进行管理和监督。</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Merge w:val="restart"/>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金融办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Merge w:val="continue"/>
            <w:tcBorders>
              <w:left w:val="single" w:color="auto" w:sz="4" w:space="0"/>
              <w:right w:val="single" w:color="auto" w:sz="4" w:space="0"/>
            </w:tcBorders>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rPr>
            </w:pPr>
          </w:p>
        </w:tc>
        <w:tc>
          <w:tcPr>
            <w:tcW w:w="4711" w:type="dxa"/>
            <w:vMerge w:val="continue"/>
            <w:tcBorders>
              <w:left w:val="single" w:color="auto" w:sz="4" w:space="0"/>
              <w:right w:val="nil"/>
            </w:tcBorders>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val="en-US" w:eastAsia="zh-CN"/>
              </w:rPr>
              <w:t>协调金融部门通过担保公司为全县基础设施建设、支农、创业促就业、中小企业等向银行申请担保贷款。</w:t>
            </w:r>
          </w:p>
        </w:tc>
        <w:tc>
          <w:tcPr>
            <w:tcW w:w="2234" w:type="dxa"/>
            <w:vMerge w:val="continue"/>
            <w:tcBorders>
              <w:left w:val="nil"/>
              <w:right w:val="nil"/>
            </w:tcBorders>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w:t>
            </w:r>
          </w:p>
        </w:tc>
        <w:tc>
          <w:tcPr>
            <w:tcW w:w="4711"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协调金融机构加大对全县重点项目建设、“三农”服务、中小企业、小额担保、再就业等一系列贷款的扶持力度；</w:t>
            </w:r>
          </w:p>
        </w:tc>
        <w:tc>
          <w:tcPr>
            <w:tcW w:w="5065"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协调金融机构加大对全县重点项目建设、“三农”服务、中小企业、小额担保、再就业等一系列贷款的扶持力度；</w:t>
            </w: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金融办</w:t>
            </w:r>
          </w:p>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561" w:type="dxa"/>
            <w:vAlign w:val="center"/>
          </w:tcPr>
          <w:p>
            <w:pPr>
              <w:spacing w:before="0" w:beforeAutospacing="0" w:after="0" w:afterAutospacing="0"/>
              <w:ind w:left="0" w:right="0"/>
              <w:jc w:val="center"/>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w:t>
            </w:r>
          </w:p>
        </w:tc>
        <w:tc>
          <w:tcPr>
            <w:tcW w:w="4711" w:type="dxa"/>
            <w:vAlign w:val="center"/>
          </w:tcPr>
          <w:p>
            <w:pPr>
              <w:spacing w:before="0" w:beforeAutospacing="0" w:after="0" w:afterAutospacing="0"/>
              <w:ind w:left="0" w:right="0" w:firstLine="31680" w:firstLineChars="200"/>
              <w:jc w:val="left"/>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承办县政府交办的其他事项</w:t>
            </w:r>
          </w:p>
        </w:tc>
        <w:tc>
          <w:tcPr>
            <w:tcW w:w="5065"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c>
          <w:tcPr>
            <w:tcW w:w="2234" w:type="dxa"/>
            <w:vAlign w:val="center"/>
          </w:tcPr>
          <w:p>
            <w:pPr>
              <w:spacing w:before="0" w:beforeAutospacing="0" w:after="0" w:afterAutospacing="0"/>
              <w:ind w:left="0" w:right="0"/>
              <w:rPr>
                <w:rFonts w:hint="eastAsia" w:asciiTheme="minorEastAsia" w:hAnsiTheme="minorEastAsia" w:eastAsiaTheme="minorEastAsia" w:cstheme="minorEastAsia"/>
                <w:sz w:val="22"/>
                <w:szCs w:val="22"/>
              </w:rPr>
            </w:pPr>
          </w:p>
        </w:tc>
      </w:tr>
    </w:tbl>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hint="eastAsia" w:asciiTheme="minorEastAsia" w:hAnsiTheme="minorEastAsia" w:eastAsiaTheme="minorEastAsia" w:cstheme="minorEastAsia"/>
          <w:sz w:val="22"/>
          <w:szCs w:val="22"/>
        </w:rPr>
      </w:pPr>
    </w:p>
    <w:p>
      <w:pPr>
        <w:jc w:val="left"/>
        <w:rPr>
          <w:rFonts w:ascii="黑体" w:eastAsia="黑体"/>
          <w:sz w:val="24"/>
        </w:rPr>
      </w:pPr>
    </w:p>
    <w:p>
      <w:pPr>
        <w:jc w:val="left"/>
        <w:rPr>
          <w:rFonts w:ascii="黑体" w:eastAsia="黑体"/>
          <w:sz w:val="24"/>
        </w:rPr>
      </w:pPr>
    </w:p>
    <w:p>
      <w:pPr>
        <w:jc w:val="left"/>
        <w:rPr>
          <w:rFonts w:ascii="黑体" w:eastAsia="黑体"/>
          <w:sz w:val="24"/>
        </w:rPr>
      </w:pPr>
    </w:p>
    <w:p>
      <w:pPr>
        <w:jc w:val="left"/>
        <w:rPr>
          <w:rFonts w:ascii="黑体" w:eastAsia="黑体"/>
          <w:sz w:val="24"/>
        </w:rPr>
      </w:pPr>
    </w:p>
    <w:p>
      <w:pPr>
        <w:jc w:val="left"/>
        <w:rPr>
          <w:rFonts w:ascii="黑体" w:eastAsia="黑体"/>
          <w:sz w:val="24"/>
        </w:rPr>
      </w:pPr>
    </w:p>
    <w:p>
      <w:pPr>
        <w:jc w:val="left"/>
        <w:rPr>
          <w:rFonts w:ascii="黑体" w:eastAsia="黑体"/>
          <w:sz w:val="24"/>
        </w:rPr>
      </w:pPr>
    </w:p>
    <w:p>
      <w:pPr>
        <w:jc w:val="left"/>
        <w:rPr>
          <w:rFonts w:ascii="黑体" w:eastAsia="黑体"/>
          <w:sz w:val="24"/>
        </w:rPr>
      </w:pPr>
    </w:p>
    <w:p>
      <w:pPr>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公共服务事项</w:t>
      </w:r>
      <w:r>
        <w:rPr>
          <w:rFonts w:hint="eastAsia" w:ascii="方正小标宋简体" w:hAnsi="方正小标宋简体" w:eastAsia="方正小标宋简体" w:cs="方正小标宋简体"/>
          <w:sz w:val="44"/>
          <w:szCs w:val="44"/>
          <w:lang w:val="en-US" w:eastAsia="zh-CN"/>
        </w:rPr>
        <w:t>清单</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部门名称：</w:t>
      </w:r>
      <w:r>
        <w:rPr>
          <w:rFonts w:hint="eastAsia" w:ascii="楷体_GB2312" w:hAnsi="楷体_GB2312" w:eastAsia="楷体_GB2312" w:cs="楷体_GB2312"/>
          <w:sz w:val="32"/>
          <w:szCs w:val="32"/>
        </w:rPr>
        <w:t>安新县人民政府办公室</w:t>
      </w:r>
    </w:p>
    <w:tbl>
      <w:tblPr>
        <w:tblStyle w:val="5"/>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63"/>
        <w:gridCol w:w="3150"/>
        <w:gridCol w:w="5674"/>
        <w:gridCol w:w="2205"/>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center"/>
              <w:rPr>
                <w:rFonts w:hint="eastAsia" w:asciiTheme="minorEastAsia" w:hAnsiTheme="minorEastAsia" w:eastAsiaTheme="minorEastAsia" w:cstheme="minorEastAsia"/>
                <w:b/>
                <w:bCs/>
                <w:sz w:val="22"/>
                <w:szCs w:val="22"/>
                <w:lang w:val="en-US"/>
              </w:rPr>
            </w:pPr>
            <w:r>
              <w:rPr>
                <w:rFonts w:hint="eastAsia" w:asciiTheme="minorEastAsia" w:hAnsiTheme="minorEastAsia" w:eastAsiaTheme="minorEastAsia" w:cstheme="minorEastAsia"/>
                <w:b/>
                <w:bCs/>
                <w:kern w:val="10"/>
                <w:sz w:val="22"/>
                <w:szCs w:val="22"/>
                <w:lang w:val="en-US" w:eastAsia="zh-CN" w:bidi="ar-SA"/>
              </w:rPr>
              <w:t>序号</w:t>
            </w: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center"/>
              <w:rPr>
                <w:rFonts w:hint="eastAsia" w:asciiTheme="minorEastAsia" w:hAnsiTheme="minorEastAsia" w:eastAsiaTheme="minorEastAsia" w:cstheme="minorEastAsia"/>
                <w:b/>
                <w:bCs/>
                <w:sz w:val="22"/>
                <w:szCs w:val="22"/>
                <w:lang w:val="en-US"/>
              </w:rPr>
            </w:pPr>
            <w:r>
              <w:rPr>
                <w:rFonts w:hint="eastAsia" w:asciiTheme="minorEastAsia" w:hAnsiTheme="minorEastAsia" w:eastAsiaTheme="minorEastAsia" w:cstheme="minorEastAsia"/>
                <w:b/>
                <w:bCs/>
                <w:kern w:val="10"/>
                <w:sz w:val="22"/>
                <w:szCs w:val="22"/>
                <w:lang w:val="en-US" w:eastAsia="zh-CN" w:bidi="ar-SA"/>
              </w:rPr>
              <w:t>服务事项</w:t>
            </w: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center"/>
              <w:rPr>
                <w:rFonts w:hint="eastAsia" w:asciiTheme="minorEastAsia" w:hAnsiTheme="minorEastAsia" w:eastAsiaTheme="minorEastAsia" w:cstheme="minorEastAsia"/>
                <w:b/>
                <w:bCs/>
                <w:sz w:val="22"/>
                <w:szCs w:val="22"/>
                <w:lang w:val="en-US"/>
              </w:rPr>
            </w:pPr>
            <w:r>
              <w:rPr>
                <w:rFonts w:hint="eastAsia" w:asciiTheme="minorEastAsia" w:hAnsiTheme="minorEastAsia" w:eastAsiaTheme="minorEastAsia" w:cstheme="minorEastAsia"/>
                <w:b/>
                <w:bCs/>
                <w:kern w:val="10"/>
                <w:sz w:val="22"/>
                <w:szCs w:val="22"/>
                <w:lang w:val="en-US" w:eastAsia="zh-CN" w:bidi="ar-SA"/>
              </w:rPr>
              <w:t>主要内容</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center"/>
              <w:rPr>
                <w:rFonts w:hint="eastAsia" w:asciiTheme="minorEastAsia" w:hAnsiTheme="minorEastAsia" w:eastAsiaTheme="minorEastAsia" w:cstheme="minorEastAsia"/>
                <w:b/>
                <w:bCs/>
                <w:sz w:val="22"/>
                <w:szCs w:val="22"/>
                <w:lang w:val="en-US"/>
              </w:rPr>
            </w:pPr>
            <w:r>
              <w:rPr>
                <w:rFonts w:hint="eastAsia" w:asciiTheme="minorEastAsia" w:hAnsiTheme="minorEastAsia" w:eastAsiaTheme="minorEastAsia" w:cstheme="minorEastAsia"/>
                <w:b/>
                <w:bCs/>
                <w:kern w:val="10"/>
                <w:sz w:val="22"/>
                <w:szCs w:val="22"/>
                <w:lang w:val="en-US" w:eastAsia="zh-CN" w:bidi="ar-SA"/>
              </w:rPr>
              <w:t>承办机构</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center"/>
              <w:rPr>
                <w:rFonts w:hint="eastAsia" w:asciiTheme="minorEastAsia" w:hAnsiTheme="minorEastAsia" w:eastAsiaTheme="minorEastAsia" w:cstheme="minorEastAsia"/>
                <w:b/>
                <w:bCs/>
                <w:sz w:val="22"/>
                <w:szCs w:val="22"/>
                <w:lang w:val="en-US"/>
              </w:rPr>
            </w:pPr>
            <w:r>
              <w:rPr>
                <w:rFonts w:hint="eastAsia" w:asciiTheme="minorEastAsia" w:hAnsiTheme="minorEastAsia" w:eastAsiaTheme="minorEastAsia" w:cstheme="minorEastAsia"/>
                <w:b/>
                <w:bCs/>
                <w:kern w:val="10"/>
                <w:sz w:val="22"/>
                <w:szCs w:val="22"/>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center"/>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1</w:t>
            </w:r>
          </w:p>
        </w:tc>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档案利用服务</w:t>
            </w:r>
          </w:p>
        </w:tc>
        <w:tc>
          <w:tcPr>
            <w:tcW w:w="5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馆藏档案的咨询、查阅、检索、摘录、复制</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档案局</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5352321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center"/>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2</w:t>
            </w:r>
          </w:p>
        </w:tc>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政府信息公开利用服务</w:t>
            </w:r>
          </w:p>
        </w:tc>
        <w:tc>
          <w:tcPr>
            <w:tcW w:w="56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县政府公开信息的咨询、查阅、检索、摘录、复制</w:t>
            </w:r>
          </w:p>
        </w:tc>
        <w:tc>
          <w:tcPr>
            <w:tcW w:w="2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档案局</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beforeAutospacing="0" w:after="0" w:afterAutospacing="0" w:line="360" w:lineRule="exact"/>
              <w:ind w:left="0" w:right="0"/>
              <w:jc w:val="both"/>
              <w:rPr>
                <w:rFonts w:hint="eastAsia" w:asciiTheme="minorEastAsia" w:hAnsiTheme="minorEastAsia" w:eastAsiaTheme="minorEastAsia" w:cstheme="minorEastAsia"/>
                <w:kern w:val="0"/>
                <w:sz w:val="22"/>
                <w:szCs w:val="22"/>
                <w:lang w:val="en-US"/>
              </w:rPr>
            </w:pPr>
            <w:r>
              <w:rPr>
                <w:rFonts w:hint="eastAsia" w:asciiTheme="minorEastAsia" w:hAnsiTheme="minorEastAsia" w:eastAsiaTheme="minorEastAsia" w:cstheme="minorEastAsia"/>
                <w:kern w:val="0"/>
                <w:sz w:val="22"/>
                <w:szCs w:val="22"/>
                <w:lang w:val="en-US" w:eastAsia="zh-CN" w:bidi="ar-SA"/>
              </w:rPr>
              <w:t>5352321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3150"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5674"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220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c>
          <w:tcPr>
            <w:tcW w:w="1886" w:type="dxa"/>
            <w:tcBorders>
              <w:top w:val="single" w:color="auto" w:sz="4" w:space="0"/>
              <w:left w:val="single" w:color="auto" w:sz="4" w:space="0"/>
              <w:bottom w:val="single" w:color="auto" w:sz="4" w:space="0"/>
              <w:right w:val="single" w:color="auto" w:sz="4" w:space="0"/>
            </w:tcBorders>
            <w:shd w:val="clear" w:color="auto" w:fill="auto"/>
            <w:vAlign w:val="top"/>
          </w:tcPr>
          <w:p>
            <w:pPr>
              <w:widowControl w:val="0"/>
              <w:spacing w:before="0" w:beforeAutospacing="0" w:after="0" w:afterAutospacing="0"/>
              <w:ind w:left="0" w:right="0"/>
              <w:jc w:val="both"/>
              <w:rPr>
                <w:rFonts w:hint="eastAsia" w:asciiTheme="minorEastAsia" w:hAnsiTheme="minorEastAsia" w:eastAsiaTheme="minorEastAsia" w:cstheme="minorEastAsia"/>
                <w:sz w:val="22"/>
                <w:szCs w:val="22"/>
                <w:lang w:val="en-US"/>
              </w:rPr>
            </w:pPr>
          </w:p>
        </w:tc>
      </w:tr>
    </w:tbl>
    <w:p>
      <w:pPr>
        <w:rPr>
          <w:rFonts w:hint="eastAsia" w:asciiTheme="minorEastAsia" w:hAnsiTheme="minorEastAsia" w:eastAsiaTheme="minorEastAsia" w:cstheme="minorEastAsia"/>
          <w:sz w:val="22"/>
          <w:szCs w:val="2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247" w:right="1077" w:bottom="1247" w:left="1077" w:header="851" w:footer="992" w:gutter="0"/>
          <w:pgNumType w:fmt="decimal" w:start="42"/>
          <w:cols w:space="425" w:num="1"/>
          <w:docGrid w:type="linesAndChar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事中事后监督管理制度</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对县政府所属部门、乡镇政府制定的规范性文件的监督管理</w:t>
      </w:r>
    </w:p>
    <w:p>
      <w:pPr>
        <w:rPr>
          <w:rFonts w:hint="eastAsia" w:ascii="楷体_GB2312" w:hAnsi="楷体_GB2312" w:eastAsia="楷体_GB2312" w:cs="楷体_GB2312"/>
          <w:b/>
          <w:bCs/>
          <w:sz w:val="32"/>
          <w:szCs w:val="32"/>
        </w:rPr>
      </w:pPr>
    </w:p>
    <w:p>
      <w:pPr>
        <w:ind w:firstLine="31680"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单位：安新县人民政府办公室</w:t>
      </w:r>
    </w:p>
    <w:p>
      <w:pPr>
        <w:ind w:firstLine="31680" w:firstLineChars="200"/>
        <w:rPr>
          <w:rFonts w:ascii="仿宋_GB2312" w:eastAsia="仿宋_GB2312"/>
          <w:b/>
          <w:bCs/>
          <w:sz w:val="32"/>
          <w:szCs w:val="32"/>
        </w:rPr>
      </w:pPr>
    </w:p>
    <w:p>
      <w:pPr>
        <w:ind w:firstLine="31680" w:firstLineChars="200"/>
        <w:rPr>
          <w:rFonts w:ascii="黑体" w:eastAsia="黑体"/>
          <w:sz w:val="30"/>
          <w:szCs w:val="30"/>
        </w:rPr>
      </w:pPr>
      <w:r>
        <w:rPr>
          <w:rFonts w:hint="eastAsia" w:ascii="黑体" w:eastAsia="黑体"/>
          <w:sz w:val="30"/>
          <w:szCs w:val="30"/>
        </w:rPr>
        <w:t>一、监督检查对象</w:t>
      </w:r>
    </w:p>
    <w:p>
      <w:pPr>
        <w:ind w:firstLine="31680" w:firstLineChars="200"/>
        <w:rPr>
          <w:rFonts w:ascii="仿宋_GB2312" w:eastAsia="仿宋_GB2312"/>
          <w:sz w:val="32"/>
          <w:szCs w:val="32"/>
        </w:rPr>
      </w:pPr>
      <w:r>
        <w:rPr>
          <w:rFonts w:hint="eastAsia" w:ascii="仿宋_GB2312" w:eastAsia="仿宋_GB2312"/>
          <w:sz w:val="30"/>
          <w:szCs w:val="30"/>
        </w:rPr>
        <w:t>县政府所属部门、乡镇政府制定的规范性文件</w:t>
      </w:r>
      <w:r>
        <w:rPr>
          <w:rFonts w:hint="eastAsia" w:ascii="仿宋_GB2312" w:eastAsia="仿宋_GB2312"/>
          <w:sz w:val="32"/>
          <w:szCs w:val="32"/>
        </w:rPr>
        <w:t>。</w:t>
      </w:r>
    </w:p>
    <w:p>
      <w:pPr>
        <w:ind w:firstLine="31680" w:firstLineChars="200"/>
        <w:rPr>
          <w:rFonts w:ascii="黑体" w:eastAsia="黑体"/>
          <w:sz w:val="30"/>
          <w:szCs w:val="30"/>
        </w:rPr>
      </w:pPr>
      <w:r>
        <w:rPr>
          <w:rFonts w:hint="eastAsia" w:ascii="黑体" w:eastAsia="黑体"/>
          <w:sz w:val="30"/>
          <w:szCs w:val="30"/>
        </w:rPr>
        <w:t>二、监督检查内容</w:t>
      </w:r>
    </w:p>
    <w:p>
      <w:pPr>
        <w:ind w:firstLine="31680" w:firstLineChars="200"/>
        <w:rPr>
          <w:rFonts w:ascii="仿宋_GB2312" w:eastAsia="仿宋_GB2312"/>
          <w:sz w:val="30"/>
          <w:szCs w:val="30"/>
        </w:rPr>
      </w:pPr>
      <w:r>
        <w:rPr>
          <w:rFonts w:hint="eastAsia" w:ascii="仿宋_GB2312" w:eastAsia="仿宋_GB2312"/>
          <w:sz w:val="30"/>
          <w:szCs w:val="30"/>
        </w:rPr>
        <w:t>（一）是否超越制定机关的法定职权或者法律、法规、规章的授权范围；</w:t>
      </w:r>
    </w:p>
    <w:p>
      <w:pPr>
        <w:ind w:firstLine="31680" w:firstLineChars="200"/>
        <w:rPr>
          <w:rFonts w:ascii="仿宋_GB2312" w:eastAsia="仿宋_GB2312"/>
          <w:sz w:val="30"/>
          <w:szCs w:val="30"/>
        </w:rPr>
      </w:pPr>
      <w:r>
        <w:rPr>
          <w:rFonts w:hint="eastAsia" w:ascii="仿宋_GB2312" w:eastAsia="仿宋_GB2312"/>
          <w:sz w:val="30"/>
          <w:szCs w:val="30"/>
        </w:rPr>
        <w:t>（二）是否与法律、法规、规章相抵触；</w:t>
      </w:r>
    </w:p>
    <w:p>
      <w:pPr>
        <w:ind w:firstLine="31680" w:firstLineChars="200"/>
        <w:rPr>
          <w:rFonts w:ascii="仿宋_GB2312" w:eastAsia="仿宋_GB2312"/>
          <w:sz w:val="30"/>
          <w:szCs w:val="30"/>
        </w:rPr>
      </w:pPr>
      <w:r>
        <w:rPr>
          <w:rFonts w:hint="eastAsia" w:ascii="仿宋_GB2312" w:eastAsia="仿宋_GB2312"/>
          <w:sz w:val="30"/>
          <w:szCs w:val="30"/>
        </w:rPr>
        <w:t>（三）是否违反《河北省规范性文件制定规定》第七条的规定；</w:t>
      </w:r>
    </w:p>
    <w:p>
      <w:pPr>
        <w:ind w:firstLine="31680" w:firstLineChars="200"/>
        <w:rPr>
          <w:rFonts w:ascii="仿宋_GB2312" w:eastAsia="仿宋_GB2312"/>
          <w:sz w:val="30"/>
          <w:szCs w:val="30"/>
        </w:rPr>
      </w:pPr>
      <w:r>
        <w:rPr>
          <w:rFonts w:hint="eastAsia" w:ascii="仿宋_GB2312" w:eastAsia="仿宋_GB2312"/>
          <w:sz w:val="30"/>
          <w:szCs w:val="30"/>
        </w:rPr>
        <w:t>（四）是否符合规范性文件制定程序；</w:t>
      </w:r>
    </w:p>
    <w:p>
      <w:pPr>
        <w:ind w:firstLine="31680" w:firstLineChars="200"/>
        <w:rPr>
          <w:rFonts w:ascii="仿宋_GB2312" w:eastAsia="仿宋_GB2312"/>
          <w:sz w:val="30"/>
          <w:szCs w:val="30"/>
        </w:rPr>
      </w:pPr>
      <w:r>
        <w:rPr>
          <w:rFonts w:hint="eastAsia" w:ascii="仿宋_GB2312" w:eastAsia="仿宋_GB2312"/>
          <w:sz w:val="30"/>
          <w:szCs w:val="30"/>
        </w:rPr>
        <w:t>（五）其他需要监督检查的内容。</w:t>
      </w:r>
    </w:p>
    <w:p>
      <w:pPr>
        <w:ind w:firstLine="31680" w:firstLineChars="200"/>
        <w:rPr>
          <w:rFonts w:hint="eastAsia" w:ascii="黑体" w:eastAsia="黑体"/>
          <w:sz w:val="30"/>
          <w:szCs w:val="30"/>
        </w:rPr>
      </w:pPr>
      <w:r>
        <w:rPr>
          <w:rFonts w:hint="eastAsia" w:ascii="黑体" w:eastAsia="黑体"/>
          <w:sz w:val="30"/>
          <w:szCs w:val="30"/>
        </w:rPr>
        <w:t>三、监督检查方式及程序</w:t>
      </w:r>
    </w:p>
    <w:p>
      <w:pPr>
        <w:ind w:firstLine="31680" w:firstLineChars="200"/>
        <w:rPr>
          <w:rFonts w:ascii="仿宋_GB2312" w:eastAsia="仿宋_GB2312"/>
          <w:sz w:val="30"/>
          <w:szCs w:val="30"/>
        </w:rPr>
      </w:pPr>
      <w:r>
        <w:rPr>
          <w:rFonts w:hint="eastAsia" w:ascii="仿宋_GB2312" w:eastAsia="仿宋_GB2312"/>
          <w:sz w:val="30"/>
          <w:szCs w:val="30"/>
        </w:rPr>
        <w:t>通过调阅、抽查制定机关的发文登记簿和有关文件的方式，对规范性文件报送审查和备案情况进行监督检查。</w:t>
      </w:r>
    </w:p>
    <w:p>
      <w:pPr>
        <w:ind w:firstLine="31680" w:firstLineChars="200"/>
        <w:rPr>
          <w:rFonts w:ascii="仿宋_GB2312" w:eastAsia="仿宋_GB2312"/>
          <w:sz w:val="30"/>
          <w:szCs w:val="30"/>
        </w:rPr>
      </w:pPr>
      <w:r>
        <w:rPr>
          <w:rFonts w:hint="eastAsia" w:ascii="仿宋_GB2312" w:eastAsia="仿宋_GB2312"/>
          <w:sz w:val="30"/>
          <w:szCs w:val="30"/>
        </w:rPr>
        <w:t>（一）监督检查可以采取自查、互查、抽查的方式进行，或者以上几种方式结合进行。</w:t>
      </w:r>
    </w:p>
    <w:p>
      <w:pPr>
        <w:ind w:firstLine="31680" w:firstLineChars="200"/>
        <w:rPr>
          <w:rFonts w:ascii="仿宋_GB2312" w:eastAsia="仿宋_GB2312"/>
          <w:sz w:val="30"/>
          <w:szCs w:val="30"/>
        </w:rPr>
      </w:pPr>
      <w:r>
        <w:rPr>
          <w:rFonts w:hint="eastAsia" w:ascii="仿宋_GB2312" w:eastAsia="仿宋_GB2312"/>
          <w:sz w:val="30"/>
          <w:szCs w:val="30"/>
        </w:rPr>
        <w:t>（二）根据需要组织开展专项监督检查工作，原则上每年一到两次。县政府法制办公室根据上级部署或者工作需要，组织开展本行政区内的规范性文件监督检查工作。</w:t>
      </w:r>
    </w:p>
    <w:p>
      <w:pPr>
        <w:ind w:firstLine="31680" w:firstLineChars="200"/>
        <w:rPr>
          <w:rFonts w:ascii="仿宋_GB2312" w:eastAsia="仿宋_GB2312"/>
          <w:sz w:val="30"/>
          <w:szCs w:val="30"/>
        </w:rPr>
      </w:pPr>
      <w:r>
        <w:rPr>
          <w:rFonts w:hint="eastAsia" w:ascii="仿宋_GB2312" w:eastAsia="仿宋_GB2312"/>
          <w:sz w:val="30"/>
          <w:szCs w:val="30"/>
        </w:rPr>
        <w:t>（三）监督检查调阅有关文件材料、实施现场检查。受查单位及其有关人员应当予以协助和配合，如实反映情况，提供有关资料，不得隐瞒、阻挠或者拒绝监督检查。</w:t>
      </w:r>
    </w:p>
    <w:p>
      <w:pPr>
        <w:ind w:firstLine="31680" w:firstLineChars="200"/>
        <w:rPr>
          <w:rFonts w:ascii="仿宋_GB2312" w:eastAsia="仿宋_GB2312"/>
          <w:sz w:val="30"/>
          <w:szCs w:val="30"/>
        </w:rPr>
      </w:pPr>
      <w:r>
        <w:rPr>
          <w:rFonts w:hint="eastAsia" w:ascii="仿宋_GB2312" w:eastAsia="仿宋_GB2312"/>
          <w:sz w:val="30"/>
          <w:szCs w:val="30"/>
        </w:rPr>
        <w:t>（四）监督检查工作结束后，应对监督检查情况进行总结，对存在的普遍性、倾向性问题提出整改意见，通报受查单位检查纠正，受查单位应当报告检查纠正情况。</w:t>
      </w:r>
    </w:p>
    <w:p>
      <w:pPr>
        <w:ind w:firstLine="31680" w:firstLineChars="200"/>
        <w:rPr>
          <w:rFonts w:hint="eastAsia" w:ascii="黑体" w:eastAsia="黑体"/>
          <w:sz w:val="30"/>
          <w:szCs w:val="30"/>
        </w:rPr>
      </w:pPr>
      <w:r>
        <w:rPr>
          <w:rFonts w:hint="eastAsia" w:ascii="黑体" w:eastAsia="黑体"/>
          <w:sz w:val="30"/>
          <w:szCs w:val="30"/>
        </w:rPr>
        <w:t>四、监督检查措施和处理</w:t>
      </w:r>
    </w:p>
    <w:p>
      <w:pPr>
        <w:ind w:firstLine="31680" w:firstLineChars="200"/>
        <w:rPr>
          <w:rFonts w:ascii="仿宋_GB2312" w:eastAsia="仿宋_GB2312"/>
          <w:sz w:val="30"/>
          <w:szCs w:val="30"/>
        </w:rPr>
      </w:pPr>
      <w:r>
        <w:rPr>
          <w:rFonts w:hint="eastAsia" w:ascii="仿宋_GB2312" w:eastAsia="仿宋_GB2312"/>
          <w:sz w:val="30"/>
          <w:szCs w:val="30"/>
        </w:rPr>
        <w:t>规范性文件制定机关有下列情形之一的，由政府法制机构责令改正，给予通报批评，可以提请本级人民政府纠正或者撤销该规范性文件，并在政府网站上公告；情节严重的依法追究责任：</w:t>
      </w:r>
    </w:p>
    <w:p>
      <w:pPr>
        <w:ind w:firstLine="31680" w:firstLineChars="200"/>
        <w:rPr>
          <w:rFonts w:ascii="仿宋_GB2312" w:eastAsia="仿宋_GB2312"/>
          <w:sz w:val="30"/>
          <w:szCs w:val="30"/>
        </w:rPr>
      </w:pPr>
      <w:r>
        <w:rPr>
          <w:rFonts w:hint="eastAsia" w:ascii="仿宋_GB2312" w:eastAsia="仿宋_GB2312"/>
          <w:sz w:val="30"/>
          <w:szCs w:val="30"/>
        </w:rPr>
        <w:t>（一）未按规定报送合法性审查和备案的；</w:t>
      </w:r>
    </w:p>
    <w:p>
      <w:pPr>
        <w:ind w:firstLine="31680" w:firstLineChars="200"/>
        <w:rPr>
          <w:rFonts w:ascii="仿宋_GB2312" w:eastAsia="仿宋_GB2312"/>
          <w:sz w:val="30"/>
          <w:szCs w:val="30"/>
        </w:rPr>
      </w:pPr>
      <w:r>
        <w:rPr>
          <w:rFonts w:hint="eastAsia" w:ascii="仿宋_GB2312" w:eastAsia="仿宋_GB2312"/>
          <w:sz w:val="30"/>
          <w:szCs w:val="30"/>
        </w:rPr>
        <w:t>（二）未按审查意见修改的；</w:t>
      </w:r>
    </w:p>
    <w:p>
      <w:pPr>
        <w:ind w:firstLine="31680" w:firstLineChars="200"/>
        <w:rPr>
          <w:rFonts w:ascii="仿宋_GB2312" w:eastAsia="仿宋_GB2312"/>
          <w:sz w:val="30"/>
          <w:szCs w:val="30"/>
        </w:rPr>
      </w:pPr>
      <w:r>
        <w:rPr>
          <w:rFonts w:hint="eastAsia" w:ascii="仿宋_GB2312" w:eastAsia="仿宋_GB2312"/>
          <w:sz w:val="30"/>
          <w:szCs w:val="30"/>
        </w:rPr>
        <w:t>（三）未按规定向社会公布的。</w:t>
      </w:r>
    </w:p>
    <w:sectPr>
      <w:pgSz w:w="16838" w:h="11906" w:orient="landscape"/>
      <w:pgMar w:top="1440" w:right="1077" w:bottom="1440" w:left="107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叶根友毛笔行书2.0版">
    <w:panose1 w:val="02010601030101010101"/>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4B5"/>
    <w:rsid w:val="00001AE6"/>
    <w:rsid w:val="00002115"/>
    <w:rsid w:val="000021AD"/>
    <w:rsid w:val="00005EC5"/>
    <w:rsid w:val="00013AE4"/>
    <w:rsid w:val="00013C14"/>
    <w:rsid w:val="00021DE4"/>
    <w:rsid w:val="00023571"/>
    <w:rsid w:val="0002718C"/>
    <w:rsid w:val="00034E66"/>
    <w:rsid w:val="00035D85"/>
    <w:rsid w:val="000439A9"/>
    <w:rsid w:val="00044626"/>
    <w:rsid w:val="00044FD0"/>
    <w:rsid w:val="00047AC7"/>
    <w:rsid w:val="00052D40"/>
    <w:rsid w:val="00053416"/>
    <w:rsid w:val="00057924"/>
    <w:rsid w:val="0006436F"/>
    <w:rsid w:val="00065E08"/>
    <w:rsid w:val="00066115"/>
    <w:rsid w:val="00070122"/>
    <w:rsid w:val="000743C7"/>
    <w:rsid w:val="00075A11"/>
    <w:rsid w:val="000761C2"/>
    <w:rsid w:val="000829D6"/>
    <w:rsid w:val="00086A13"/>
    <w:rsid w:val="00087FB3"/>
    <w:rsid w:val="0009098C"/>
    <w:rsid w:val="00091D21"/>
    <w:rsid w:val="00097B10"/>
    <w:rsid w:val="000A413C"/>
    <w:rsid w:val="000A4DC3"/>
    <w:rsid w:val="000B1D8A"/>
    <w:rsid w:val="000B2440"/>
    <w:rsid w:val="000B3BDF"/>
    <w:rsid w:val="000B7407"/>
    <w:rsid w:val="000D4830"/>
    <w:rsid w:val="000D5DD6"/>
    <w:rsid w:val="000E51BD"/>
    <w:rsid w:val="000F033C"/>
    <w:rsid w:val="000F3DC0"/>
    <w:rsid w:val="000F4BEE"/>
    <w:rsid w:val="00103436"/>
    <w:rsid w:val="0011376D"/>
    <w:rsid w:val="001163D8"/>
    <w:rsid w:val="00116A58"/>
    <w:rsid w:val="00140954"/>
    <w:rsid w:val="00157417"/>
    <w:rsid w:val="00160B5A"/>
    <w:rsid w:val="001711BA"/>
    <w:rsid w:val="001716DD"/>
    <w:rsid w:val="0017511A"/>
    <w:rsid w:val="00176D05"/>
    <w:rsid w:val="0017775F"/>
    <w:rsid w:val="00182386"/>
    <w:rsid w:val="001850FC"/>
    <w:rsid w:val="001924A9"/>
    <w:rsid w:val="00192CDC"/>
    <w:rsid w:val="00197B6B"/>
    <w:rsid w:val="001A22A9"/>
    <w:rsid w:val="001A3375"/>
    <w:rsid w:val="001A5E26"/>
    <w:rsid w:val="001B362D"/>
    <w:rsid w:val="001C2A52"/>
    <w:rsid w:val="001C3F0F"/>
    <w:rsid w:val="001C52EA"/>
    <w:rsid w:val="001C6549"/>
    <w:rsid w:val="001D065A"/>
    <w:rsid w:val="001D09C3"/>
    <w:rsid w:val="001D397B"/>
    <w:rsid w:val="001D3CF5"/>
    <w:rsid w:val="001E0BA0"/>
    <w:rsid w:val="001E140D"/>
    <w:rsid w:val="001E6338"/>
    <w:rsid w:val="002001BC"/>
    <w:rsid w:val="00200386"/>
    <w:rsid w:val="0020237F"/>
    <w:rsid w:val="00211AEF"/>
    <w:rsid w:val="00211F7A"/>
    <w:rsid w:val="00216C06"/>
    <w:rsid w:val="00220EAF"/>
    <w:rsid w:val="002217DC"/>
    <w:rsid w:val="00221F89"/>
    <w:rsid w:val="0022574F"/>
    <w:rsid w:val="00231450"/>
    <w:rsid w:val="002371CC"/>
    <w:rsid w:val="00251D2C"/>
    <w:rsid w:val="002523DA"/>
    <w:rsid w:val="00252656"/>
    <w:rsid w:val="002575B8"/>
    <w:rsid w:val="002613B0"/>
    <w:rsid w:val="002676E9"/>
    <w:rsid w:val="002716F5"/>
    <w:rsid w:val="00272DB4"/>
    <w:rsid w:val="00275C66"/>
    <w:rsid w:val="00276830"/>
    <w:rsid w:val="0028191F"/>
    <w:rsid w:val="00287DA9"/>
    <w:rsid w:val="00290844"/>
    <w:rsid w:val="002911C1"/>
    <w:rsid w:val="002912BB"/>
    <w:rsid w:val="002967D1"/>
    <w:rsid w:val="002A004A"/>
    <w:rsid w:val="002A3AD3"/>
    <w:rsid w:val="002A3C77"/>
    <w:rsid w:val="002A4C7A"/>
    <w:rsid w:val="002A6322"/>
    <w:rsid w:val="002B7D8E"/>
    <w:rsid w:val="002D1B1F"/>
    <w:rsid w:val="002D4289"/>
    <w:rsid w:val="002D7367"/>
    <w:rsid w:val="002E7586"/>
    <w:rsid w:val="002F4699"/>
    <w:rsid w:val="003064C2"/>
    <w:rsid w:val="00307650"/>
    <w:rsid w:val="0030779B"/>
    <w:rsid w:val="00307EE8"/>
    <w:rsid w:val="00313089"/>
    <w:rsid w:val="003154B9"/>
    <w:rsid w:val="00320F2A"/>
    <w:rsid w:val="00324907"/>
    <w:rsid w:val="003278C9"/>
    <w:rsid w:val="00327D1D"/>
    <w:rsid w:val="00337A35"/>
    <w:rsid w:val="003475CA"/>
    <w:rsid w:val="0035035F"/>
    <w:rsid w:val="003507E1"/>
    <w:rsid w:val="00351C82"/>
    <w:rsid w:val="00351E7E"/>
    <w:rsid w:val="00352253"/>
    <w:rsid w:val="00354688"/>
    <w:rsid w:val="00355DFA"/>
    <w:rsid w:val="00356218"/>
    <w:rsid w:val="00357CC6"/>
    <w:rsid w:val="003606BB"/>
    <w:rsid w:val="00362D2C"/>
    <w:rsid w:val="0036496D"/>
    <w:rsid w:val="003709B1"/>
    <w:rsid w:val="00373123"/>
    <w:rsid w:val="003763C1"/>
    <w:rsid w:val="00377ACC"/>
    <w:rsid w:val="00380387"/>
    <w:rsid w:val="003803F9"/>
    <w:rsid w:val="003813A7"/>
    <w:rsid w:val="003827D9"/>
    <w:rsid w:val="00384C51"/>
    <w:rsid w:val="0038559B"/>
    <w:rsid w:val="00385600"/>
    <w:rsid w:val="00386F2A"/>
    <w:rsid w:val="00391022"/>
    <w:rsid w:val="0039782E"/>
    <w:rsid w:val="003B1629"/>
    <w:rsid w:val="003B48F7"/>
    <w:rsid w:val="003B71A9"/>
    <w:rsid w:val="003C1D4E"/>
    <w:rsid w:val="003C6FD3"/>
    <w:rsid w:val="003C7F0B"/>
    <w:rsid w:val="003D0E72"/>
    <w:rsid w:val="003D20C2"/>
    <w:rsid w:val="003D266A"/>
    <w:rsid w:val="003D6158"/>
    <w:rsid w:val="003E2EB5"/>
    <w:rsid w:val="003E7AE9"/>
    <w:rsid w:val="003F0A69"/>
    <w:rsid w:val="003F536F"/>
    <w:rsid w:val="00401E83"/>
    <w:rsid w:val="00402A35"/>
    <w:rsid w:val="0041130A"/>
    <w:rsid w:val="004154B5"/>
    <w:rsid w:val="0041663F"/>
    <w:rsid w:val="00432404"/>
    <w:rsid w:val="00437454"/>
    <w:rsid w:val="00447B2F"/>
    <w:rsid w:val="004501A5"/>
    <w:rsid w:val="004506DC"/>
    <w:rsid w:val="0045255C"/>
    <w:rsid w:val="00463531"/>
    <w:rsid w:val="00467638"/>
    <w:rsid w:val="00472AC7"/>
    <w:rsid w:val="0047603D"/>
    <w:rsid w:val="00482AA6"/>
    <w:rsid w:val="00495E14"/>
    <w:rsid w:val="004B064B"/>
    <w:rsid w:val="004B1C20"/>
    <w:rsid w:val="004B366B"/>
    <w:rsid w:val="004B7EBF"/>
    <w:rsid w:val="004C0E73"/>
    <w:rsid w:val="004C38EB"/>
    <w:rsid w:val="004C4869"/>
    <w:rsid w:val="004D084D"/>
    <w:rsid w:val="004D16C1"/>
    <w:rsid w:val="004D2680"/>
    <w:rsid w:val="004D3792"/>
    <w:rsid w:val="004E0F64"/>
    <w:rsid w:val="004E2ADF"/>
    <w:rsid w:val="004E3D20"/>
    <w:rsid w:val="004E3FBF"/>
    <w:rsid w:val="004E781E"/>
    <w:rsid w:val="004F1670"/>
    <w:rsid w:val="004F2FDE"/>
    <w:rsid w:val="004F75EA"/>
    <w:rsid w:val="004F7BE1"/>
    <w:rsid w:val="00501251"/>
    <w:rsid w:val="00501AD9"/>
    <w:rsid w:val="00501CAA"/>
    <w:rsid w:val="00503C44"/>
    <w:rsid w:val="005050F2"/>
    <w:rsid w:val="00505D6A"/>
    <w:rsid w:val="005170BF"/>
    <w:rsid w:val="005253BD"/>
    <w:rsid w:val="005262CC"/>
    <w:rsid w:val="00530D41"/>
    <w:rsid w:val="0053373D"/>
    <w:rsid w:val="00546E9F"/>
    <w:rsid w:val="005479DE"/>
    <w:rsid w:val="005554BD"/>
    <w:rsid w:val="00555C3F"/>
    <w:rsid w:val="00561432"/>
    <w:rsid w:val="00562B58"/>
    <w:rsid w:val="00567EAA"/>
    <w:rsid w:val="00573E46"/>
    <w:rsid w:val="00575B7D"/>
    <w:rsid w:val="0058563E"/>
    <w:rsid w:val="0058621A"/>
    <w:rsid w:val="005863FB"/>
    <w:rsid w:val="005A0A25"/>
    <w:rsid w:val="005A5D31"/>
    <w:rsid w:val="005A6146"/>
    <w:rsid w:val="005B6655"/>
    <w:rsid w:val="005C3303"/>
    <w:rsid w:val="005C6AF8"/>
    <w:rsid w:val="005C7FD9"/>
    <w:rsid w:val="005D335F"/>
    <w:rsid w:val="005D7213"/>
    <w:rsid w:val="005D7506"/>
    <w:rsid w:val="005E3A08"/>
    <w:rsid w:val="005E3EE0"/>
    <w:rsid w:val="005F01D2"/>
    <w:rsid w:val="005F1BD8"/>
    <w:rsid w:val="00600906"/>
    <w:rsid w:val="00600FDE"/>
    <w:rsid w:val="006045A4"/>
    <w:rsid w:val="006075A9"/>
    <w:rsid w:val="00607BA4"/>
    <w:rsid w:val="00612D29"/>
    <w:rsid w:val="00616496"/>
    <w:rsid w:val="00616561"/>
    <w:rsid w:val="00623AB4"/>
    <w:rsid w:val="006266FC"/>
    <w:rsid w:val="006306DB"/>
    <w:rsid w:val="00632CC3"/>
    <w:rsid w:val="00636831"/>
    <w:rsid w:val="00642949"/>
    <w:rsid w:val="00646FB2"/>
    <w:rsid w:val="00647150"/>
    <w:rsid w:val="0065309C"/>
    <w:rsid w:val="006621ED"/>
    <w:rsid w:val="006625F3"/>
    <w:rsid w:val="0066423F"/>
    <w:rsid w:val="0066494D"/>
    <w:rsid w:val="00667EEB"/>
    <w:rsid w:val="00672535"/>
    <w:rsid w:val="006726E6"/>
    <w:rsid w:val="00673817"/>
    <w:rsid w:val="0068544E"/>
    <w:rsid w:val="006924B8"/>
    <w:rsid w:val="00692C6D"/>
    <w:rsid w:val="006955C9"/>
    <w:rsid w:val="006A1D0F"/>
    <w:rsid w:val="006A285D"/>
    <w:rsid w:val="006A5A77"/>
    <w:rsid w:val="006A6A6F"/>
    <w:rsid w:val="006B0044"/>
    <w:rsid w:val="006B3908"/>
    <w:rsid w:val="006B407C"/>
    <w:rsid w:val="006B5179"/>
    <w:rsid w:val="006B72E0"/>
    <w:rsid w:val="006C0997"/>
    <w:rsid w:val="006C13ED"/>
    <w:rsid w:val="006C243F"/>
    <w:rsid w:val="006C2D50"/>
    <w:rsid w:val="006D2DF1"/>
    <w:rsid w:val="006D3EA7"/>
    <w:rsid w:val="006D5D95"/>
    <w:rsid w:val="006E2225"/>
    <w:rsid w:val="006E2AEE"/>
    <w:rsid w:val="006E75C5"/>
    <w:rsid w:val="006E7B27"/>
    <w:rsid w:val="006E7F16"/>
    <w:rsid w:val="006F346B"/>
    <w:rsid w:val="006F43F4"/>
    <w:rsid w:val="006F487D"/>
    <w:rsid w:val="00704BBF"/>
    <w:rsid w:val="00704BF1"/>
    <w:rsid w:val="00710041"/>
    <w:rsid w:val="00710123"/>
    <w:rsid w:val="00711B27"/>
    <w:rsid w:val="0072232A"/>
    <w:rsid w:val="00723B90"/>
    <w:rsid w:val="0072499C"/>
    <w:rsid w:val="007256C4"/>
    <w:rsid w:val="00726C01"/>
    <w:rsid w:val="007308CB"/>
    <w:rsid w:val="00733507"/>
    <w:rsid w:val="00735732"/>
    <w:rsid w:val="00736339"/>
    <w:rsid w:val="007370F6"/>
    <w:rsid w:val="007445F7"/>
    <w:rsid w:val="00746D1C"/>
    <w:rsid w:val="007621A4"/>
    <w:rsid w:val="00786C68"/>
    <w:rsid w:val="00790C8E"/>
    <w:rsid w:val="00790FDF"/>
    <w:rsid w:val="00796E9D"/>
    <w:rsid w:val="00797CBB"/>
    <w:rsid w:val="007B2961"/>
    <w:rsid w:val="007B3D23"/>
    <w:rsid w:val="007B4AB4"/>
    <w:rsid w:val="007B537D"/>
    <w:rsid w:val="007B7A75"/>
    <w:rsid w:val="007C13D8"/>
    <w:rsid w:val="007C4845"/>
    <w:rsid w:val="007C4F2F"/>
    <w:rsid w:val="007C597F"/>
    <w:rsid w:val="007C749A"/>
    <w:rsid w:val="007D51A3"/>
    <w:rsid w:val="007D7C86"/>
    <w:rsid w:val="007E16CF"/>
    <w:rsid w:val="007E1A78"/>
    <w:rsid w:val="007E6461"/>
    <w:rsid w:val="007E7A13"/>
    <w:rsid w:val="007F3A22"/>
    <w:rsid w:val="007F4D5D"/>
    <w:rsid w:val="007F5D89"/>
    <w:rsid w:val="007F7AC6"/>
    <w:rsid w:val="00800391"/>
    <w:rsid w:val="00801FED"/>
    <w:rsid w:val="00802B77"/>
    <w:rsid w:val="00803248"/>
    <w:rsid w:val="008078D8"/>
    <w:rsid w:val="008164EF"/>
    <w:rsid w:val="00816E40"/>
    <w:rsid w:val="00820D4E"/>
    <w:rsid w:val="00821596"/>
    <w:rsid w:val="00825F3F"/>
    <w:rsid w:val="00826DFA"/>
    <w:rsid w:val="0083117C"/>
    <w:rsid w:val="00833AA8"/>
    <w:rsid w:val="008371B1"/>
    <w:rsid w:val="008413B0"/>
    <w:rsid w:val="0084578D"/>
    <w:rsid w:val="00847A3D"/>
    <w:rsid w:val="00850AC5"/>
    <w:rsid w:val="0085360D"/>
    <w:rsid w:val="008556C8"/>
    <w:rsid w:val="0086220F"/>
    <w:rsid w:val="00865AC9"/>
    <w:rsid w:val="00866F86"/>
    <w:rsid w:val="0087621D"/>
    <w:rsid w:val="00877050"/>
    <w:rsid w:val="00883F75"/>
    <w:rsid w:val="00884471"/>
    <w:rsid w:val="008854E2"/>
    <w:rsid w:val="0089157B"/>
    <w:rsid w:val="00893834"/>
    <w:rsid w:val="00894516"/>
    <w:rsid w:val="00895034"/>
    <w:rsid w:val="008A1DE4"/>
    <w:rsid w:val="008A3A51"/>
    <w:rsid w:val="008A4BAE"/>
    <w:rsid w:val="008A6FCE"/>
    <w:rsid w:val="008A7CB3"/>
    <w:rsid w:val="008B2083"/>
    <w:rsid w:val="008B670F"/>
    <w:rsid w:val="008C53AD"/>
    <w:rsid w:val="008C6FD2"/>
    <w:rsid w:val="008D0909"/>
    <w:rsid w:val="008D1BC8"/>
    <w:rsid w:val="008D4218"/>
    <w:rsid w:val="008D500F"/>
    <w:rsid w:val="008E074C"/>
    <w:rsid w:val="008E1DE5"/>
    <w:rsid w:val="008E3B8A"/>
    <w:rsid w:val="008E6134"/>
    <w:rsid w:val="008E7C0A"/>
    <w:rsid w:val="008F139F"/>
    <w:rsid w:val="008F2AD3"/>
    <w:rsid w:val="008F6C0E"/>
    <w:rsid w:val="009006DE"/>
    <w:rsid w:val="009009D2"/>
    <w:rsid w:val="00901125"/>
    <w:rsid w:val="009034D9"/>
    <w:rsid w:val="00904E64"/>
    <w:rsid w:val="00915B68"/>
    <w:rsid w:val="00917B68"/>
    <w:rsid w:val="009253C0"/>
    <w:rsid w:val="00927369"/>
    <w:rsid w:val="00941F5F"/>
    <w:rsid w:val="009437A7"/>
    <w:rsid w:val="00946D22"/>
    <w:rsid w:val="009520D3"/>
    <w:rsid w:val="00953530"/>
    <w:rsid w:val="00957A0F"/>
    <w:rsid w:val="009601FE"/>
    <w:rsid w:val="00961D47"/>
    <w:rsid w:val="0096521C"/>
    <w:rsid w:val="00970633"/>
    <w:rsid w:val="009740D6"/>
    <w:rsid w:val="00974EF4"/>
    <w:rsid w:val="009764C7"/>
    <w:rsid w:val="00976DF5"/>
    <w:rsid w:val="0097788B"/>
    <w:rsid w:val="00980867"/>
    <w:rsid w:val="0098397F"/>
    <w:rsid w:val="00983CB4"/>
    <w:rsid w:val="00990549"/>
    <w:rsid w:val="00995A2D"/>
    <w:rsid w:val="009A02D5"/>
    <w:rsid w:val="009A4063"/>
    <w:rsid w:val="009A4AE8"/>
    <w:rsid w:val="009B48A9"/>
    <w:rsid w:val="009C004B"/>
    <w:rsid w:val="009C1E11"/>
    <w:rsid w:val="009C505C"/>
    <w:rsid w:val="009D5C1E"/>
    <w:rsid w:val="009D5EBF"/>
    <w:rsid w:val="009E494A"/>
    <w:rsid w:val="00A041FE"/>
    <w:rsid w:val="00A06274"/>
    <w:rsid w:val="00A11773"/>
    <w:rsid w:val="00A1296D"/>
    <w:rsid w:val="00A13349"/>
    <w:rsid w:val="00A133D1"/>
    <w:rsid w:val="00A17BD9"/>
    <w:rsid w:val="00A276DD"/>
    <w:rsid w:val="00A33343"/>
    <w:rsid w:val="00A345CF"/>
    <w:rsid w:val="00A348C1"/>
    <w:rsid w:val="00A3497F"/>
    <w:rsid w:val="00A368D7"/>
    <w:rsid w:val="00A44965"/>
    <w:rsid w:val="00A51E65"/>
    <w:rsid w:val="00A6448A"/>
    <w:rsid w:val="00A65939"/>
    <w:rsid w:val="00A73BAD"/>
    <w:rsid w:val="00A82F8C"/>
    <w:rsid w:val="00A83BBD"/>
    <w:rsid w:val="00A86794"/>
    <w:rsid w:val="00A910BB"/>
    <w:rsid w:val="00A92B61"/>
    <w:rsid w:val="00AA68F3"/>
    <w:rsid w:val="00AA7B73"/>
    <w:rsid w:val="00AB001F"/>
    <w:rsid w:val="00AB074D"/>
    <w:rsid w:val="00AB08A2"/>
    <w:rsid w:val="00AB22F6"/>
    <w:rsid w:val="00AD083F"/>
    <w:rsid w:val="00AD4A4D"/>
    <w:rsid w:val="00AE1D72"/>
    <w:rsid w:val="00AF4BE3"/>
    <w:rsid w:val="00AF721A"/>
    <w:rsid w:val="00AF7B33"/>
    <w:rsid w:val="00B01515"/>
    <w:rsid w:val="00B022C0"/>
    <w:rsid w:val="00B10451"/>
    <w:rsid w:val="00B10C66"/>
    <w:rsid w:val="00B12119"/>
    <w:rsid w:val="00B157D2"/>
    <w:rsid w:val="00B163BF"/>
    <w:rsid w:val="00B17923"/>
    <w:rsid w:val="00B2443D"/>
    <w:rsid w:val="00B32408"/>
    <w:rsid w:val="00B42676"/>
    <w:rsid w:val="00B44B3E"/>
    <w:rsid w:val="00B539E3"/>
    <w:rsid w:val="00B553A4"/>
    <w:rsid w:val="00B607EB"/>
    <w:rsid w:val="00B63E5E"/>
    <w:rsid w:val="00B65B9C"/>
    <w:rsid w:val="00B66608"/>
    <w:rsid w:val="00B73164"/>
    <w:rsid w:val="00B75D0F"/>
    <w:rsid w:val="00B76F2F"/>
    <w:rsid w:val="00B776A4"/>
    <w:rsid w:val="00B8190C"/>
    <w:rsid w:val="00B82705"/>
    <w:rsid w:val="00B84C78"/>
    <w:rsid w:val="00B85AD8"/>
    <w:rsid w:val="00B91B80"/>
    <w:rsid w:val="00BA0C46"/>
    <w:rsid w:val="00BB1333"/>
    <w:rsid w:val="00BB1A18"/>
    <w:rsid w:val="00BB1C8E"/>
    <w:rsid w:val="00BB36CC"/>
    <w:rsid w:val="00BB52EA"/>
    <w:rsid w:val="00BB675B"/>
    <w:rsid w:val="00BC2DDB"/>
    <w:rsid w:val="00BC45F5"/>
    <w:rsid w:val="00BD049C"/>
    <w:rsid w:val="00BD04B9"/>
    <w:rsid w:val="00BD4829"/>
    <w:rsid w:val="00BD6AE1"/>
    <w:rsid w:val="00BE0FBD"/>
    <w:rsid w:val="00BE4D80"/>
    <w:rsid w:val="00BF1747"/>
    <w:rsid w:val="00C0017A"/>
    <w:rsid w:val="00C033B0"/>
    <w:rsid w:val="00C1029F"/>
    <w:rsid w:val="00C11FFF"/>
    <w:rsid w:val="00C12D41"/>
    <w:rsid w:val="00C24170"/>
    <w:rsid w:val="00C32244"/>
    <w:rsid w:val="00C34A1A"/>
    <w:rsid w:val="00C40E67"/>
    <w:rsid w:val="00C421EA"/>
    <w:rsid w:val="00C42D55"/>
    <w:rsid w:val="00C44D02"/>
    <w:rsid w:val="00C50C2E"/>
    <w:rsid w:val="00C52150"/>
    <w:rsid w:val="00C522CF"/>
    <w:rsid w:val="00C52D5D"/>
    <w:rsid w:val="00C608C1"/>
    <w:rsid w:val="00C626AC"/>
    <w:rsid w:val="00C66DA1"/>
    <w:rsid w:val="00C66DA4"/>
    <w:rsid w:val="00C72640"/>
    <w:rsid w:val="00C74232"/>
    <w:rsid w:val="00C77577"/>
    <w:rsid w:val="00C81114"/>
    <w:rsid w:val="00C90C34"/>
    <w:rsid w:val="00C92E34"/>
    <w:rsid w:val="00CA00AA"/>
    <w:rsid w:val="00CA4991"/>
    <w:rsid w:val="00CB38E8"/>
    <w:rsid w:val="00CB7B85"/>
    <w:rsid w:val="00CD1809"/>
    <w:rsid w:val="00CD1A88"/>
    <w:rsid w:val="00CD28EE"/>
    <w:rsid w:val="00CD5DE9"/>
    <w:rsid w:val="00CD7BF9"/>
    <w:rsid w:val="00CE0C1B"/>
    <w:rsid w:val="00CE2B11"/>
    <w:rsid w:val="00CE6C24"/>
    <w:rsid w:val="00CF6BA2"/>
    <w:rsid w:val="00D02D0E"/>
    <w:rsid w:val="00D03F17"/>
    <w:rsid w:val="00D175C1"/>
    <w:rsid w:val="00D17F44"/>
    <w:rsid w:val="00D23951"/>
    <w:rsid w:val="00D30184"/>
    <w:rsid w:val="00D36079"/>
    <w:rsid w:val="00D40060"/>
    <w:rsid w:val="00D412BF"/>
    <w:rsid w:val="00D42BE7"/>
    <w:rsid w:val="00D50B8F"/>
    <w:rsid w:val="00D51F27"/>
    <w:rsid w:val="00D62178"/>
    <w:rsid w:val="00D62C86"/>
    <w:rsid w:val="00D64848"/>
    <w:rsid w:val="00D81BF1"/>
    <w:rsid w:val="00D870A9"/>
    <w:rsid w:val="00D878E6"/>
    <w:rsid w:val="00D878F0"/>
    <w:rsid w:val="00D97F4E"/>
    <w:rsid w:val="00DA0A18"/>
    <w:rsid w:val="00DA0DE7"/>
    <w:rsid w:val="00DB016D"/>
    <w:rsid w:val="00DB1549"/>
    <w:rsid w:val="00DB5336"/>
    <w:rsid w:val="00DB6A1E"/>
    <w:rsid w:val="00DB6EAF"/>
    <w:rsid w:val="00DC2846"/>
    <w:rsid w:val="00DC2B3B"/>
    <w:rsid w:val="00DC4B32"/>
    <w:rsid w:val="00DD4D2F"/>
    <w:rsid w:val="00DD518C"/>
    <w:rsid w:val="00DD79E8"/>
    <w:rsid w:val="00E121C4"/>
    <w:rsid w:val="00E13B39"/>
    <w:rsid w:val="00E15C94"/>
    <w:rsid w:val="00E16E8D"/>
    <w:rsid w:val="00E20B9B"/>
    <w:rsid w:val="00E24FFA"/>
    <w:rsid w:val="00E27586"/>
    <w:rsid w:val="00E304F1"/>
    <w:rsid w:val="00E4103D"/>
    <w:rsid w:val="00E46C6F"/>
    <w:rsid w:val="00E51384"/>
    <w:rsid w:val="00E520C7"/>
    <w:rsid w:val="00E529AA"/>
    <w:rsid w:val="00E533A2"/>
    <w:rsid w:val="00E555EE"/>
    <w:rsid w:val="00E61F48"/>
    <w:rsid w:val="00E63C08"/>
    <w:rsid w:val="00E703A0"/>
    <w:rsid w:val="00E77B99"/>
    <w:rsid w:val="00E81009"/>
    <w:rsid w:val="00E855A6"/>
    <w:rsid w:val="00E863C0"/>
    <w:rsid w:val="00E9592E"/>
    <w:rsid w:val="00EB6432"/>
    <w:rsid w:val="00EC26F4"/>
    <w:rsid w:val="00EC2978"/>
    <w:rsid w:val="00EC421E"/>
    <w:rsid w:val="00ED0BC5"/>
    <w:rsid w:val="00ED19F9"/>
    <w:rsid w:val="00ED2128"/>
    <w:rsid w:val="00ED2555"/>
    <w:rsid w:val="00EE363F"/>
    <w:rsid w:val="00EF4C6D"/>
    <w:rsid w:val="00EF6F4E"/>
    <w:rsid w:val="00F050F0"/>
    <w:rsid w:val="00F05131"/>
    <w:rsid w:val="00F05604"/>
    <w:rsid w:val="00F066B1"/>
    <w:rsid w:val="00F078E7"/>
    <w:rsid w:val="00F206C0"/>
    <w:rsid w:val="00F25539"/>
    <w:rsid w:val="00F26B42"/>
    <w:rsid w:val="00F319CB"/>
    <w:rsid w:val="00F370A9"/>
    <w:rsid w:val="00F437E2"/>
    <w:rsid w:val="00F43F3C"/>
    <w:rsid w:val="00F45831"/>
    <w:rsid w:val="00F61CAE"/>
    <w:rsid w:val="00F63987"/>
    <w:rsid w:val="00F755E8"/>
    <w:rsid w:val="00F87275"/>
    <w:rsid w:val="00F9030D"/>
    <w:rsid w:val="00F914E7"/>
    <w:rsid w:val="00F92C1C"/>
    <w:rsid w:val="00F96A49"/>
    <w:rsid w:val="00FA1BEB"/>
    <w:rsid w:val="00FA34D6"/>
    <w:rsid w:val="00FA5707"/>
    <w:rsid w:val="00FB1857"/>
    <w:rsid w:val="00FB3759"/>
    <w:rsid w:val="00FB4573"/>
    <w:rsid w:val="00FC2D1E"/>
    <w:rsid w:val="00FD107A"/>
    <w:rsid w:val="00FF4D38"/>
    <w:rsid w:val="00FF6371"/>
    <w:rsid w:val="00FF700C"/>
    <w:rsid w:val="00FF7D92"/>
    <w:rsid w:val="07E07279"/>
    <w:rsid w:val="0D8D3959"/>
    <w:rsid w:val="107C5919"/>
    <w:rsid w:val="162A486A"/>
    <w:rsid w:val="17E75E45"/>
    <w:rsid w:val="19AD57B1"/>
    <w:rsid w:val="1A722F70"/>
    <w:rsid w:val="1D8242FD"/>
    <w:rsid w:val="21DD349D"/>
    <w:rsid w:val="2A6E4A0A"/>
    <w:rsid w:val="2D99625C"/>
    <w:rsid w:val="34630E03"/>
    <w:rsid w:val="3F5F7F07"/>
    <w:rsid w:val="40E07BEB"/>
    <w:rsid w:val="4E4335FD"/>
    <w:rsid w:val="50D947CE"/>
    <w:rsid w:val="65310993"/>
    <w:rsid w:val="75011559"/>
    <w:rsid w:val="772B760F"/>
    <w:rsid w:val="77B133B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locked/>
    <w:uiPriority w:val="99"/>
    <w:rPr>
      <w:rFonts w:ascii="Times New Roman" w:hAnsi="Times New Roman" w:eastAsia="宋体" w:cs="Times New Roman"/>
      <w:sz w:val="18"/>
      <w:szCs w:val="18"/>
    </w:rPr>
  </w:style>
  <w:style w:type="character" w:customStyle="1" w:styleId="7">
    <w:name w:val="Footer Char"/>
    <w:basedOn w:val="4"/>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7</Pages>
  <Words>306</Words>
  <Characters>1745</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2015-05-24T08:28:00Z</dcterms:created>
  <dc:creator>微软用户</dc:creator>
  <cp:lastModifiedBy>Administrator</cp:lastModifiedBy>
  <cp:lastPrinted>2015-05-24T10:06:00Z</cp:lastPrinted>
  <dcterms:modified xsi:type="dcterms:W3CDTF">2016-08-01T09:53:27Z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